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Procurement Guidance for Government AI</w:t>
      </w:r>
    </w:p>
    <w:p>
      <w:r>
        <w:t xml:space="preserve">Per GFR 2017, CVC Procurement Guidelines, Supreme Court e-Committee norms, and GeM best practices.</w:t>
      </w:r>
    </w:p>
    <w:tbl>
      <w:tblPr>
        <w:tblW w:w="9360" w:type="dxa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Do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Don't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Remark</w:t>
            </w:r>
          </w:p>
        </w:tc>
      </w:tr>
      <w:tr>
        <w:tc>
          <w:tcPr>
            <w:tcW w:w="2340" w:type="dxa"/>
          </w:tcPr>
          <w:p>
            <w:r>
              <w:t xml:space="preserve">Require off-the-shelf, fixed-price products</w:t>
            </w:r>
          </w:p>
        </w:tc>
        <w:tc>
          <w:tcPr>
            <w:tcW w:w="2340" w:type="dxa"/>
          </w:tcPr>
          <w:p>
            <w:r>
              <w:t xml:space="preserve">✓ Predictable, validated products built by world-class teams.</w:t>
            </w:r>
          </w:p>
        </w:tc>
        <w:tc>
          <w:tcPr>
            <w:tcW w:w="2340" w:type="dxa"/>
          </w:tcPr>
          <w:p>
            <w:r>
              <w:t xml:space="preserve">✗ Developing tech in-house with no derisking or data economies of scale.</w:t>
            </w:r>
          </w:p>
        </w:tc>
        <w:tc>
          <w:tcPr>
            <w:tcW w:w="2340" w:type="dxa"/>
          </w:tcPr>
          <w:p>
            <w:r>
              <w:t xml:space="preserve">Legacy service companies and governments are unlikely to produce cutting-edge technology in-house.</w:t>
            </w:r>
          </w:p>
        </w:tc>
      </w:tr>
      <w:tr>
        <w:tc>
          <w:tcPr>
            <w:tcW w:w="2340" w:type="dxa"/>
          </w:tcPr>
          <w:p>
            <w:r>
              <w:t xml:space="preserve">Require ontological architecture</w:t>
            </w:r>
          </w:p>
        </w:tc>
        <w:tc>
          <w:tcPr>
            <w:tcW w:w="2340" w:type="dxa"/>
          </w:tcPr>
          <w:p>
            <w:r>
              <w:t xml:space="preserve">✓ Formal verification with line-level citations and audit trails.</w:t>
            </w:r>
          </w:p>
        </w:tc>
        <w:tc>
          <w:tcPr>
            <w:tcW w:w="2340" w:type="dxa"/>
          </w:tcPr>
          <w:p>
            <w:r>
              <w:t xml:space="preserve">✗ Black-box AI with unverifiable outputs.</w:t>
            </w:r>
          </w:p>
        </w:tc>
        <w:tc>
          <w:tcPr>
            <w:tcW w:w="2340" w:type="dxa"/>
          </w:tcPr>
          <w:p>
            <w:r>
              <w:t xml:space="preserve">Every claim must be traceable. Every output auditable (aligns to defensibility and auditability expectations under public procurement).</w:t>
            </w:r>
          </w:p>
        </w:tc>
      </w:tr>
      <w:tr>
        <w:tc>
          <w:tcPr>
            <w:tcW w:w="2340" w:type="dxa"/>
          </w:tcPr>
          <w:p>
            <w:r>
              <w:t xml:space="preserve">Require comprehensive legal/admin datasets</w:t>
            </w:r>
          </w:p>
        </w:tc>
        <w:tc>
          <w:tcPr>
            <w:tcW w:w="2340" w:type="dxa"/>
          </w:tcPr>
          <w:p>
            <w:r>
              <w:t xml:space="preserve">✓ Proprietary databases with live, versioned, complete legal/admin data.</w:t>
            </w:r>
          </w:p>
        </w:tc>
        <w:tc>
          <w:tcPr>
            <w:tcW w:w="2340" w:type="dxa"/>
          </w:tcPr>
          <w:p>
            <w:r>
              <w:t xml:space="preserve">✗ Generic models and GPT wrappers with knowledge cutoffs.</w:t>
            </w:r>
          </w:p>
        </w:tc>
        <w:tc>
          <w:tcPr>
            <w:tcW w:w="2340" w:type="dxa"/>
          </w:tcPr>
          <w:p>
            <w:r>
              <w:t xml:space="preserve">Government work requires daily indexing of new judgments, circulars, amendments, etc.—not Google/GPT.</w:t>
            </w:r>
          </w:p>
        </w:tc>
      </w:tr>
      <w:tr>
        <w:tc>
          <w:tcPr>
            <w:tcW w:w="2340" w:type="dxa"/>
          </w:tcPr>
          <w:p>
            <w:r>
              <w:t xml:space="preserve">Require operational fluency</w:t>
            </w:r>
          </w:p>
        </w:tc>
        <w:tc>
          <w:tcPr>
            <w:tcW w:w="2340" w:type="dxa"/>
          </w:tcPr>
          <w:p>
            <w:r>
              <w:t xml:space="preserve">✓ Forward-deployed engineers with domain expertise; on-site process mapping.</w:t>
            </w:r>
          </w:p>
        </w:tc>
        <w:tc>
          <w:tcPr>
            <w:tcW w:w="2340" w:type="dxa"/>
          </w:tcPr>
          <w:p>
            <w:r>
              <w:t xml:space="preserve">✗ Remote-only support; ticket-based resolution; lawyer- or sales-only teams.</w:t>
            </w:r>
          </w:p>
        </w:tc>
        <w:tc>
          <w:tcPr>
            <w:tcW w:w="2340" w:type="dxa"/>
          </w:tcPr>
          <w:p>
            <w:r>
              <w:t xml:space="preserve">Technology adoption requires hands-on implementation by technically fluent operators.</w:t>
            </w:r>
          </w:p>
        </w:tc>
      </w:tr>
      <w:tr>
        <w:tc>
          <w:tcPr>
            <w:tcW w:w="2340" w:type="dxa"/>
          </w:tcPr>
          <w:p>
            <w:r>
              <w:t xml:space="preserve">Require public products with real users</w:t>
            </w:r>
          </w:p>
        </w:tc>
        <w:tc>
          <w:tcPr>
            <w:tcW w:w="2340" w:type="dxa"/>
          </w:tcPr>
          <w:p>
            <w:r>
              <w:t xml:space="preserve">✓ Products that are loved bottom-up survive; forced procurements go to waste.</w:t>
            </w:r>
          </w:p>
        </w:tc>
        <w:tc>
          <w:tcPr>
            <w:tcW w:w="2340" w:type="dxa"/>
          </w:tcPr>
          <w:p>
            <w:r>
              <w:t xml:space="preserve">✗ Decision-makers captured by fake demos of unavailable products.</w:t>
            </w:r>
          </w:p>
        </w:tc>
        <w:tc>
          <w:tcPr>
            <w:tcW w:w="2340" w:type="dxa"/>
          </w:tcPr>
          <w:p>
            <w:r>
              <w:t xml:space="preserve">Public pilots and real end-users reduce procurement risk and improve defensibility.</w:t>
            </w:r>
          </w:p>
        </w:tc>
      </w:tr>
      <w:tr>
        <w:tc>
          <w:tcPr>
            <w:tcW w:w="2340" w:type="dxa"/>
          </w:tcPr>
          <w:p>
            <w:r>
              <w:t xml:space="preserve">Avoid non-profit dependencies</w:t>
            </w:r>
          </w:p>
        </w:tc>
        <w:tc>
          <w:tcPr>
            <w:tcW w:w="2340" w:type="dxa"/>
          </w:tcPr>
          <w:p>
            <w:r>
              <w:t xml:space="preserve">✓ Sustainable commercial model with aligned incentives and transparent data ownership.</w:t>
            </w:r>
          </w:p>
        </w:tc>
        <w:tc>
          <w:tcPr>
            <w:tcW w:w="2340" w:type="dxa"/>
          </w:tcPr>
          <w:p>
            <w:r>
              <w:t xml:space="preserve">✗ Grant-funded projects with uncertain continuity and opaque data-sharing.</w:t>
            </w:r>
          </w:p>
        </w:tc>
        <w:tc>
          <w:tcPr>
            <w:tcW w:w="2340" w:type="dxa"/>
          </w:tcPr>
          <w:p>
            <w:r>
              <w:t xml:space="preserve">Long-term institutional partnerships require commercial viability and clear incentives.</w:t>
            </w:r>
          </w:p>
        </w:tc>
      </w:tr>
      <w:tr>
        <w:tc>
          <w:tcPr>
            <w:tcW w:w="2340" w:type="dxa"/>
          </w:tcPr>
          <w:p>
            <w:r>
              <w:t xml:space="preserve">Require platformization AND interoperability</w:t>
            </w:r>
          </w:p>
        </w:tc>
        <w:tc>
          <w:tcPr>
            <w:tcW w:w="2340" w:type="dxa"/>
          </w:tcPr>
          <w:p>
            <w:r>
              <w:t xml:space="preserve">✓ Pool data into a singular system to reduce exposure; ensure that system is interoperable.</w:t>
            </w:r>
          </w:p>
        </w:tc>
        <w:tc>
          <w:tcPr>
            <w:tcW w:w="2340" w:type="dxa"/>
          </w:tcPr>
          <w:p>
            <w:r>
              <w:t xml:space="preserve">✗ Point solutions that only do one thing; tools that don't talk to other tools.</w:t>
            </w:r>
          </w:p>
        </w:tc>
        <w:tc>
          <w:tcPr>
            <w:tcW w:w="2340" w:type="dxa"/>
          </w:tcPr>
          <w:p>
            <w:r>
              <w:t xml:space="preserve">Reduces exposure to multiple vendors and cybersecurity points of failure.</w:t>
            </w:r>
          </w:p>
        </w:tc>
      </w:tr>
      <w:tr>
        <w:tc>
          <w:tcPr>
            <w:tcW w:w="2340" w:type="dxa"/>
          </w:tcPr>
          <w:p>
            <w:r>
              <w:t xml:space="preserve">Require API-based, self-owned data sovereignty</w:t>
            </w:r>
          </w:p>
        </w:tc>
        <w:tc>
          <w:tcPr>
            <w:tcW w:w="2340" w:type="dxa"/>
          </w:tcPr>
          <w:p>
            <w:r>
              <w:t xml:space="preserve">✓ Self-owned infrastructure with role-based permissions, admin, analytics, and bulk ops.</w:t>
            </w:r>
          </w:p>
        </w:tc>
        <w:tc>
          <w:tcPr>
            <w:tcW w:w="2340" w:type="dxa"/>
          </w:tcPr>
          <w:p>
            <w:r>
              <w:t xml:space="preserve">✗ Web-only or app-only consumer products with vendor data access.</w:t>
            </w:r>
          </w:p>
        </w:tc>
        <w:tc>
          <w:tcPr>
            <w:tcW w:w="2340" w:type="dxa"/>
          </w:tcPr>
          <w:p>
            <w:r>
              <w:t xml:space="preserve">Government data is sensitive and large volume; must be stored on government servers.</w:t>
            </w:r>
          </w:p>
        </w:tc>
      </w:tr>
    </w:tbl>
    <w:p>
      <w:r>
        <w:t xml:space="preserve">Source: jhana.ai/courtroom</w:t>
      </w:r>
    </w:p>
    <w:sectPr>
      <w:pgSz w:w="11906" w:h="16838"/>
      <w:pgMar w:top="1134" w:right="1134" w:bottom="1134" w:left="1134"/>
    </w:sectPr>
  </w:body>
</w:document>
</file>